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BC0" w:rsidRDefault="003A7BC0" w:rsidP="000D3FD0">
      <w:pPr>
        <w:rPr>
          <w:rFonts w:ascii="Arial" w:hAnsi="Arial" w:cs="Arial"/>
          <w:b/>
          <w:sz w:val="32"/>
          <w:szCs w:val="32"/>
          <w:u w:val="single"/>
        </w:rPr>
      </w:pPr>
    </w:p>
    <w:p w:rsidR="000D3FD0" w:rsidRPr="003B7F78" w:rsidRDefault="005B0B5D" w:rsidP="000D3FD0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L’agroenvironnement</w:t>
      </w:r>
      <w:bookmarkStart w:id="0" w:name="_GoBack"/>
      <w:bookmarkEnd w:id="0"/>
    </w:p>
    <w:p w:rsidR="000D3FD0" w:rsidRDefault="000D3FD0" w:rsidP="00FE15F0">
      <w:pPr>
        <w:ind w:firstLine="708"/>
      </w:pPr>
    </w:p>
    <w:p w:rsidR="00223DE2" w:rsidRDefault="00223DE2" w:rsidP="000D3FD0"/>
    <w:p w:rsidR="005B0B5D" w:rsidRPr="005B0B5D" w:rsidRDefault="005B0B5D" w:rsidP="005B0B5D">
      <w:pPr>
        <w:jc w:val="both"/>
        <w:rPr>
          <w:rFonts w:ascii="Arial" w:hAnsi="Arial" w:cs="Arial"/>
          <w:sz w:val="24"/>
          <w:szCs w:val="24"/>
        </w:rPr>
      </w:pPr>
      <w:r w:rsidRPr="005B0B5D">
        <w:rPr>
          <w:rFonts w:ascii="Arial" w:hAnsi="Arial" w:cs="Arial"/>
          <w:sz w:val="24"/>
          <w:szCs w:val="24"/>
        </w:rPr>
        <w:t>L’agroenvironnement est un ensemble de technologies et de pratiques agricoles permettant</w:t>
      </w:r>
    </w:p>
    <w:p w:rsidR="005B0B5D" w:rsidRDefault="005B0B5D" w:rsidP="005B0B5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B0B5D">
        <w:rPr>
          <w:rFonts w:ascii="Arial" w:hAnsi="Arial" w:cs="Arial"/>
          <w:sz w:val="24"/>
          <w:szCs w:val="24"/>
        </w:rPr>
        <w:t>la</w:t>
      </w:r>
      <w:proofErr w:type="gramEnd"/>
      <w:r w:rsidRPr="005B0B5D">
        <w:rPr>
          <w:rFonts w:ascii="Arial" w:hAnsi="Arial" w:cs="Arial"/>
          <w:sz w:val="24"/>
          <w:szCs w:val="24"/>
        </w:rPr>
        <w:t xml:space="preserve"> conservation des ressources naturelles, la protection de l’environnement, la cohabitation harmonieuse, le maintien de la qualité de l’eau et la rédu</w:t>
      </w:r>
      <w:r>
        <w:rPr>
          <w:rFonts w:ascii="Arial" w:hAnsi="Arial" w:cs="Arial"/>
          <w:sz w:val="24"/>
          <w:szCs w:val="24"/>
        </w:rPr>
        <w:t>ction des gaz à effet de serre.</w:t>
      </w:r>
      <w:r w:rsidR="001D2C5A">
        <w:rPr>
          <w:rFonts w:ascii="Arial" w:hAnsi="Arial" w:cs="Arial"/>
          <w:sz w:val="24"/>
          <w:szCs w:val="24"/>
        </w:rPr>
        <w:t xml:space="preserve"> </w:t>
      </w:r>
      <w:r w:rsidRPr="005B0B5D">
        <w:rPr>
          <w:rFonts w:ascii="Arial" w:hAnsi="Arial" w:cs="Arial"/>
          <w:sz w:val="24"/>
          <w:szCs w:val="24"/>
        </w:rPr>
        <w:t>En raison de ses compétences, l’agronome est souvent mis à contribution dans ce domaine.</w:t>
      </w:r>
    </w:p>
    <w:p w:rsidR="005B0B5D" w:rsidRPr="005B0B5D" w:rsidRDefault="005B0B5D" w:rsidP="005B0B5D">
      <w:pPr>
        <w:jc w:val="both"/>
        <w:rPr>
          <w:rFonts w:ascii="Arial" w:hAnsi="Arial" w:cs="Arial"/>
          <w:sz w:val="24"/>
          <w:szCs w:val="24"/>
        </w:rPr>
      </w:pPr>
    </w:p>
    <w:p w:rsidR="00223DE2" w:rsidRDefault="005B0B5D" w:rsidP="005B0B5D">
      <w:pPr>
        <w:jc w:val="both"/>
        <w:rPr>
          <w:rFonts w:ascii="Arial" w:hAnsi="Arial" w:cs="Arial"/>
          <w:sz w:val="24"/>
          <w:szCs w:val="24"/>
        </w:rPr>
      </w:pPr>
      <w:r w:rsidRPr="005B0B5D">
        <w:rPr>
          <w:rFonts w:ascii="Arial" w:hAnsi="Arial" w:cs="Arial"/>
          <w:sz w:val="24"/>
          <w:szCs w:val="24"/>
        </w:rPr>
        <w:t>Voici les prévisions d’une agronome pour les prochaines années concernant le rendement d’un</w:t>
      </w:r>
      <w:r>
        <w:rPr>
          <w:rFonts w:ascii="Arial" w:hAnsi="Arial" w:cs="Arial"/>
          <w:sz w:val="24"/>
          <w:szCs w:val="24"/>
        </w:rPr>
        <w:t xml:space="preserve"> </w:t>
      </w:r>
      <w:r w:rsidRPr="005B0B5D">
        <w:rPr>
          <w:rFonts w:ascii="Arial" w:hAnsi="Arial" w:cs="Arial"/>
          <w:sz w:val="24"/>
          <w:szCs w:val="24"/>
        </w:rPr>
        <w:t>champ de maïs d’un agriculteur, avec et sans la mise en place de pratiques agroenvironnementales.</w:t>
      </w:r>
    </w:p>
    <w:p w:rsidR="00223DE2" w:rsidRDefault="00223DE2" w:rsidP="00223DE2">
      <w:pPr>
        <w:rPr>
          <w:rFonts w:ascii="Arial" w:hAnsi="Arial" w:cs="Arial"/>
          <w:sz w:val="24"/>
          <w:szCs w:val="24"/>
        </w:rPr>
      </w:pPr>
    </w:p>
    <w:p w:rsidR="00D81071" w:rsidRDefault="00D81071" w:rsidP="00223DE2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Ind w:w="-787" w:type="dxa"/>
        <w:tblLook w:val="04A0" w:firstRow="1" w:lastRow="0" w:firstColumn="1" w:lastColumn="0" w:noHBand="0" w:noVBand="1"/>
      </w:tblPr>
      <w:tblGrid>
        <w:gridCol w:w="2597"/>
        <w:gridCol w:w="2615"/>
        <w:gridCol w:w="2616"/>
      </w:tblGrid>
      <w:tr w:rsidR="00D07B1A" w:rsidTr="00D07B1A">
        <w:trPr>
          <w:jc w:val="center"/>
        </w:trPr>
        <w:tc>
          <w:tcPr>
            <w:tcW w:w="2597" w:type="dxa"/>
            <w:vMerge w:val="restart"/>
            <w:shd w:val="clear" w:color="auto" w:fill="D9D9D9" w:themeFill="background1" w:themeFillShade="D9"/>
            <w:vAlign w:val="center"/>
          </w:tcPr>
          <w:p w:rsidR="00D07B1A" w:rsidRPr="00370E4A" w:rsidRDefault="00D07B1A" w:rsidP="00D07B1A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Temps (années)</w:t>
            </w:r>
          </w:p>
        </w:tc>
        <w:tc>
          <w:tcPr>
            <w:tcW w:w="5231" w:type="dxa"/>
            <w:gridSpan w:val="2"/>
            <w:shd w:val="clear" w:color="auto" w:fill="D9D9D9" w:themeFill="background1" w:themeFillShade="D9"/>
          </w:tcPr>
          <w:p w:rsidR="00D07B1A" w:rsidRPr="00223DE2" w:rsidRDefault="00D07B1A" w:rsidP="00ED41C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Rendement prévu (production en kg/hectare)</w:t>
            </w:r>
          </w:p>
        </w:tc>
      </w:tr>
      <w:tr w:rsidR="00D07B1A" w:rsidTr="009C50BD">
        <w:trPr>
          <w:jc w:val="center"/>
        </w:trPr>
        <w:tc>
          <w:tcPr>
            <w:tcW w:w="2597" w:type="dxa"/>
            <w:vMerge/>
            <w:shd w:val="clear" w:color="auto" w:fill="D9D9D9" w:themeFill="background1" w:themeFillShade="D9"/>
          </w:tcPr>
          <w:p w:rsidR="00D07B1A" w:rsidRDefault="00D07B1A" w:rsidP="005B0B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5" w:type="dxa"/>
            <w:shd w:val="clear" w:color="auto" w:fill="D9D9D9" w:themeFill="background1" w:themeFillShade="D9"/>
          </w:tcPr>
          <w:p w:rsidR="00D07B1A" w:rsidRDefault="00D07B1A" w:rsidP="00ED4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Sans la mise en place de pratiques gouvernementales</w:t>
            </w:r>
          </w:p>
        </w:tc>
        <w:tc>
          <w:tcPr>
            <w:tcW w:w="2616" w:type="dxa"/>
            <w:shd w:val="clear" w:color="auto" w:fill="D9D9D9" w:themeFill="background1" w:themeFillShade="D9"/>
          </w:tcPr>
          <w:p w:rsidR="00D07B1A" w:rsidRDefault="00D07B1A" w:rsidP="00ED41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Avec</w:t>
            </w:r>
            <w:r>
              <w:rPr>
                <w:rFonts w:ascii="Arial" w:hAnsi="Arial" w:cs="Arial"/>
                <w:sz w:val="18"/>
                <w:szCs w:val="18"/>
              </w:rPr>
              <w:t xml:space="preserve"> la mise en place de pratique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gouvernementales</w:t>
            </w:r>
          </w:p>
        </w:tc>
      </w:tr>
      <w:tr w:rsidR="00D07B1A" w:rsidTr="00442FF1">
        <w:trPr>
          <w:jc w:val="center"/>
        </w:trPr>
        <w:tc>
          <w:tcPr>
            <w:tcW w:w="2597" w:type="dxa"/>
            <w:vAlign w:val="center"/>
          </w:tcPr>
          <w:p w:rsidR="00D07B1A" w:rsidRDefault="00D07B1A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2615" w:type="dxa"/>
            <w:vAlign w:val="center"/>
          </w:tcPr>
          <w:p w:rsidR="00D07B1A" w:rsidRDefault="00D07B1A" w:rsidP="00D07B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149,88</w:t>
            </w:r>
          </w:p>
        </w:tc>
        <w:tc>
          <w:tcPr>
            <w:tcW w:w="2616" w:type="dxa"/>
            <w:vAlign w:val="center"/>
          </w:tcPr>
          <w:p w:rsidR="00D07B1A" w:rsidRDefault="00D07B1A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</w:tr>
      <w:tr w:rsidR="00D07B1A" w:rsidTr="005549B6">
        <w:trPr>
          <w:jc w:val="center"/>
        </w:trPr>
        <w:tc>
          <w:tcPr>
            <w:tcW w:w="2597" w:type="dxa"/>
            <w:vAlign w:val="center"/>
          </w:tcPr>
          <w:p w:rsidR="00D07B1A" w:rsidRPr="00223DE2" w:rsidRDefault="00D07B1A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615" w:type="dxa"/>
            <w:vAlign w:val="center"/>
          </w:tcPr>
          <w:p w:rsidR="00D07B1A" w:rsidRPr="00223DE2" w:rsidRDefault="00D07B1A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2616" w:type="dxa"/>
            <w:vAlign w:val="center"/>
          </w:tcPr>
          <w:p w:rsidR="00D07B1A" w:rsidRPr="00223DE2" w:rsidRDefault="00D07B1A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D07B1A" w:rsidTr="00481446">
        <w:trPr>
          <w:jc w:val="center"/>
        </w:trPr>
        <w:tc>
          <w:tcPr>
            <w:tcW w:w="2597" w:type="dxa"/>
            <w:vAlign w:val="center"/>
          </w:tcPr>
          <w:p w:rsidR="00D07B1A" w:rsidRPr="00223DE2" w:rsidRDefault="00D07B1A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15" w:type="dxa"/>
            <w:vAlign w:val="center"/>
          </w:tcPr>
          <w:p w:rsidR="00D07B1A" w:rsidRPr="00223DE2" w:rsidRDefault="00D07B1A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149,5</w:t>
            </w:r>
          </w:p>
        </w:tc>
        <w:tc>
          <w:tcPr>
            <w:tcW w:w="2616" w:type="dxa"/>
            <w:vAlign w:val="center"/>
          </w:tcPr>
          <w:p w:rsidR="00D07B1A" w:rsidRPr="00223DE2" w:rsidRDefault="00D07B1A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  <w:tr w:rsidR="00D07B1A" w:rsidTr="00D802AD">
        <w:trPr>
          <w:jc w:val="center"/>
        </w:trPr>
        <w:tc>
          <w:tcPr>
            <w:tcW w:w="2597" w:type="dxa"/>
            <w:vAlign w:val="center"/>
          </w:tcPr>
          <w:p w:rsidR="00D07B1A" w:rsidRDefault="00D07B1A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15" w:type="dxa"/>
            <w:vAlign w:val="center"/>
          </w:tcPr>
          <w:p w:rsidR="00D07B1A" w:rsidRDefault="00D07B1A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  <w:tc>
          <w:tcPr>
            <w:tcW w:w="2616" w:type="dxa"/>
            <w:vAlign w:val="center"/>
          </w:tcPr>
          <w:p w:rsidR="00D07B1A" w:rsidRDefault="00D07B1A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D07B1A" w:rsidTr="00D802AD">
        <w:trPr>
          <w:jc w:val="center"/>
        </w:trPr>
        <w:tc>
          <w:tcPr>
            <w:tcW w:w="2597" w:type="dxa"/>
            <w:vAlign w:val="center"/>
          </w:tcPr>
          <w:p w:rsidR="00D07B1A" w:rsidRDefault="00D07B1A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15" w:type="dxa"/>
            <w:vAlign w:val="center"/>
          </w:tcPr>
          <w:p w:rsidR="00D07B1A" w:rsidRDefault="00D07B1A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2616" w:type="dxa"/>
            <w:vAlign w:val="center"/>
          </w:tcPr>
          <w:p w:rsidR="00D07B1A" w:rsidRDefault="00D07B1A" w:rsidP="00ED41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</w:tbl>
    <w:p w:rsidR="004A2437" w:rsidRDefault="004A2437" w:rsidP="000D3FD0">
      <w:pPr>
        <w:rPr>
          <w:rFonts w:ascii="Arial" w:hAnsi="Arial" w:cs="Arial"/>
          <w:sz w:val="24"/>
          <w:szCs w:val="24"/>
        </w:rPr>
      </w:pPr>
    </w:p>
    <w:p w:rsidR="004A2437" w:rsidRPr="004A2437" w:rsidRDefault="004A2437" w:rsidP="004A2437">
      <w:pPr>
        <w:rPr>
          <w:rFonts w:ascii="Arial" w:hAnsi="Arial" w:cs="Arial"/>
          <w:sz w:val="24"/>
          <w:szCs w:val="24"/>
        </w:rPr>
      </w:pPr>
    </w:p>
    <w:p w:rsidR="005B0807" w:rsidRDefault="005B0807" w:rsidP="004A2437">
      <w:pPr>
        <w:rPr>
          <w:rFonts w:ascii="Arial" w:hAnsi="Arial" w:cs="Arial"/>
          <w:sz w:val="24"/>
          <w:szCs w:val="24"/>
        </w:rPr>
      </w:pPr>
    </w:p>
    <w:p w:rsidR="00D07B1A" w:rsidRPr="00D07B1A" w:rsidRDefault="00D07B1A" w:rsidP="00D07B1A">
      <w:pPr>
        <w:rPr>
          <w:rFonts w:ascii="Arial" w:hAnsi="Arial" w:cs="Arial"/>
          <w:sz w:val="24"/>
          <w:szCs w:val="24"/>
        </w:rPr>
      </w:pPr>
      <w:r w:rsidRPr="00D07B1A">
        <w:rPr>
          <w:rFonts w:ascii="Arial" w:hAnsi="Arial" w:cs="Arial"/>
          <w:sz w:val="24"/>
          <w:szCs w:val="24"/>
        </w:rPr>
        <w:t xml:space="preserve">D’après les prédictions de l’agronome, à partir de quel moment la production avec la mise </w:t>
      </w:r>
    </w:p>
    <w:p w:rsidR="00D07B1A" w:rsidRPr="00D07B1A" w:rsidRDefault="00D07B1A" w:rsidP="00D07B1A">
      <w:pPr>
        <w:rPr>
          <w:rFonts w:ascii="Arial" w:hAnsi="Arial" w:cs="Arial"/>
          <w:sz w:val="24"/>
          <w:szCs w:val="24"/>
        </w:rPr>
      </w:pPr>
      <w:proofErr w:type="gramStart"/>
      <w:r w:rsidRPr="00D07B1A">
        <w:rPr>
          <w:rFonts w:ascii="Arial" w:hAnsi="Arial" w:cs="Arial"/>
          <w:sz w:val="24"/>
          <w:szCs w:val="24"/>
        </w:rPr>
        <w:t>en</w:t>
      </w:r>
      <w:proofErr w:type="gramEnd"/>
      <w:r w:rsidRPr="00D07B1A">
        <w:rPr>
          <w:rFonts w:ascii="Arial" w:hAnsi="Arial" w:cs="Arial"/>
          <w:sz w:val="24"/>
          <w:szCs w:val="24"/>
        </w:rPr>
        <w:t xml:space="preserve"> place de pratiques agroenvironnementales surpassera-t-elle celle sans la mise en place </w:t>
      </w:r>
    </w:p>
    <w:p w:rsidR="004A2437" w:rsidRPr="004A2437" w:rsidRDefault="00D07B1A" w:rsidP="00D07B1A">
      <w:pPr>
        <w:rPr>
          <w:rFonts w:ascii="Arial" w:hAnsi="Arial" w:cs="Arial"/>
          <w:sz w:val="24"/>
          <w:szCs w:val="24"/>
        </w:rPr>
      </w:pPr>
      <w:proofErr w:type="gramStart"/>
      <w:r w:rsidRPr="00D07B1A">
        <w:rPr>
          <w:rFonts w:ascii="Arial" w:hAnsi="Arial" w:cs="Arial"/>
          <w:sz w:val="24"/>
          <w:szCs w:val="24"/>
        </w:rPr>
        <w:t>de</w:t>
      </w:r>
      <w:proofErr w:type="gramEnd"/>
      <w:r w:rsidRPr="00D07B1A">
        <w:rPr>
          <w:rFonts w:ascii="Arial" w:hAnsi="Arial" w:cs="Arial"/>
          <w:sz w:val="24"/>
          <w:szCs w:val="24"/>
        </w:rPr>
        <w:t xml:space="preserve"> pratiques agroenvironnementales</w:t>
      </w:r>
      <w:r w:rsidR="00D81071">
        <w:rPr>
          <w:rFonts w:ascii="Arial" w:hAnsi="Arial" w:cs="Arial"/>
          <w:sz w:val="24"/>
          <w:szCs w:val="24"/>
        </w:rPr>
        <w:t>, et quelle sera cette production</w:t>
      </w:r>
      <w:r w:rsidRPr="00D07B1A">
        <w:rPr>
          <w:rFonts w:ascii="Arial" w:hAnsi="Arial" w:cs="Arial"/>
          <w:sz w:val="24"/>
          <w:szCs w:val="24"/>
        </w:rPr>
        <w:t xml:space="preserve"> ?</w:t>
      </w:r>
    </w:p>
    <w:p w:rsidR="004A2437" w:rsidRPr="004A2437" w:rsidRDefault="004A2437" w:rsidP="004A2437">
      <w:pPr>
        <w:rPr>
          <w:rFonts w:ascii="Arial" w:hAnsi="Arial" w:cs="Arial"/>
          <w:sz w:val="24"/>
          <w:szCs w:val="24"/>
        </w:rPr>
      </w:pPr>
    </w:p>
    <w:p w:rsidR="004A2437" w:rsidRPr="004A2437" w:rsidRDefault="004A2437" w:rsidP="004A2437">
      <w:pPr>
        <w:rPr>
          <w:rFonts w:ascii="Arial" w:hAnsi="Arial" w:cs="Arial"/>
          <w:sz w:val="24"/>
          <w:szCs w:val="24"/>
        </w:rPr>
      </w:pPr>
    </w:p>
    <w:p w:rsidR="004A2437" w:rsidRPr="004A2437" w:rsidRDefault="004A2437" w:rsidP="004A2437">
      <w:pPr>
        <w:rPr>
          <w:rFonts w:ascii="Arial" w:hAnsi="Arial" w:cs="Arial"/>
          <w:sz w:val="24"/>
          <w:szCs w:val="24"/>
        </w:rPr>
      </w:pPr>
    </w:p>
    <w:p w:rsidR="004A2437" w:rsidRDefault="004A2437" w:rsidP="004A2437">
      <w:pPr>
        <w:rPr>
          <w:rFonts w:ascii="Arial" w:hAnsi="Arial" w:cs="Arial"/>
          <w:sz w:val="24"/>
          <w:szCs w:val="24"/>
        </w:rPr>
      </w:pPr>
    </w:p>
    <w:sectPr w:rsidR="004A2437">
      <w:headerReference w:type="default" r:id="rId9"/>
      <w:footerReference w:type="default" r:id="rId10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F7" w:rsidRDefault="00DD3AF7" w:rsidP="00A50E11">
      <w:r>
        <w:separator/>
      </w:r>
    </w:p>
  </w:endnote>
  <w:endnote w:type="continuationSeparator" w:id="0">
    <w:p w:rsidR="00DD3AF7" w:rsidRDefault="00DD3AF7" w:rsidP="00A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B5D" w:rsidRDefault="004B2B65">
    <w:pPr>
      <w:pStyle w:val="Pieddepage"/>
      <w:pBdr>
        <w:top w:val="thinThickSmallGap" w:sz="24" w:space="1" w:color="622423" w:themeColor="accent2" w:themeShade="7F"/>
      </w:pBdr>
      <w:rPr>
        <w:b/>
        <w:bCs/>
        <w:i/>
        <w:color w:val="000000" w:themeColor="text1"/>
      </w:rPr>
    </w:pPr>
    <w:r w:rsidRPr="00A72C86">
      <w:rPr>
        <w:b/>
        <w:bCs/>
        <w:i/>
        <w:color w:val="000000" w:themeColor="text1"/>
      </w:rPr>
      <w:t xml:space="preserve">Source : </w:t>
    </w:r>
    <w:r w:rsidR="009E31FF">
      <w:rPr>
        <w:b/>
        <w:bCs/>
        <w:i/>
        <w:color w:val="000000" w:themeColor="text1"/>
      </w:rPr>
      <w:t>Guide « Intervalle CEC » MAT-417</w:t>
    </w:r>
    <w:r w:rsidRPr="00A72C86">
      <w:rPr>
        <w:b/>
        <w:bCs/>
        <w:i/>
        <w:color w:val="000000" w:themeColor="text1"/>
      </w:rPr>
      <w:t xml:space="preserve">1, </w:t>
    </w:r>
    <w:r w:rsidR="005B0B5D">
      <w:rPr>
        <w:b/>
        <w:bCs/>
        <w:i/>
        <w:color w:val="000000" w:themeColor="text1"/>
      </w:rPr>
      <w:t>Examen formatif / fichiers reproductibles</w:t>
    </w:r>
    <w:r>
      <w:rPr>
        <w:b/>
        <w:bCs/>
        <w:i/>
        <w:color w:val="000000" w:themeColor="text1"/>
      </w:rPr>
      <w:t xml:space="preserve"> </w:t>
    </w:r>
  </w:p>
  <w:p w:rsidR="00AE4A41" w:rsidRPr="00280B93" w:rsidRDefault="005B0B5D">
    <w:pPr>
      <w:pStyle w:val="Pieddepage"/>
      <w:pBdr>
        <w:top w:val="thinThickSmallGap" w:sz="24" w:space="1" w:color="622423" w:themeColor="accent2" w:themeShade="7F"/>
      </w:pBdr>
      <w:rPr>
        <w:b/>
        <w:bCs/>
        <w:i/>
        <w:color w:val="000000" w:themeColor="text1"/>
      </w:rPr>
    </w:pPr>
    <w:r>
      <w:rPr>
        <w:b/>
        <w:bCs/>
        <w:i/>
        <w:color w:val="000000" w:themeColor="text1"/>
      </w:rPr>
      <w:t xml:space="preserve">Adaptation : Gilles </w:t>
    </w:r>
    <w:proofErr w:type="spellStart"/>
    <w:r>
      <w:rPr>
        <w:b/>
        <w:bCs/>
        <w:i/>
        <w:color w:val="000000" w:themeColor="text1"/>
      </w:rPr>
      <w:t>Coulombe</w:t>
    </w:r>
    <w:proofErr w:type="spellEnd"/>
    <w:r>
      <w:rPr>
        <w:b/>
        <w:bCs/>
        <w:i/>
        <w:color w:val="000000" w:themeColor="text1"/>
      </w:rPr>
      <w:t xml:space="preserve"> CÉAPO</w:t>
    </w:r>
    <w:r w:rsidR="00AE4A41">
      <w:rPr>
        <w:rFonts w:asciiTheme="majorHAnsi" w:eastAsiaTheme="majorEastAsia" w:hAnsiTheme="majorHAnsi" w:cstheme="majorBidi"/>
      </w:rPr>
      <w:ptab w:relativeTo="margin" w:alignment="right" w:leader="none"/>
    </w:r>
    <w:r w:rsidR="00AE4A41">
      <w:rPr>
        <w:rFonts w:asciiTheme="majorHAnsi" w:eastAsiaTheme="majorEastAsia" w:hAnsiTheme="majorHAnsi" w:cstheme="majorBidi"/>
      </w:rPr>
      <w:t xml:space="preserve">Page </w:t>
    </w:r>
    <w:r w:rsidR="00AE4A41">
      <w:rPr>
        <w:rFonts w:asciiTheme="minorHAnsi" w:eastAsiaTheme="minorEastAsia" w:hAnsiTheme="minorHAnsi" w:cstheme="minorBidi"/>
      </w:rPr>
      <w:fldChar w:fldCharType="begin"/>
    </w:r>
    <w:r w:rsidR="00AE4A41">
      <w:instrText>PAGE   \* MERGEFORMAT</w:instrText>
    </w:r>
    <w:r w:rsidR="00AE4A41">
      <w:rPr>
        <w:rFonts w:asciiTheme="minorHAnsi" w:eastAsiaTheme="minorEastAsia" w:hAnsiTheme="minorHAnsi" w:cstheme="minorBidi"/>
      </w:rPr>
      <w:fldChar w:fldCharType="separate"/>
    </w:r>
    <w:r w:rsidR="001D2C5A" w:rsidRPr="001D2C5A">
      <w:rPr>
        <w:rFonts w:asciiTheme="majorHAnsi" w:eastAsiaTheme="majorEastAsia" w:hAnsiTheme="majorHAnsi" w:cstheme="majorBidi"/>
        <w:noProof/>
      </w:rPr>
      <w:t>1</w:t>
    </w:r>
    <w:r w:rsidR="00AE4A41">
      <w:rPr>
        <w:rFonts w:asciiTheme="majorHAnsi" w:eastAsiaTheme="majorEastAsia" w:hAnsiTheme="majorHAnsi" w:cstheme="majorBidi"/>
      </w:rPr>
      <w:fldChar w:fldCharType="end"/>
    </w:r>
  </w:p>
  <w:p w:rsidR="000D3FD0" w:rsidRPr="000D3FD0" w:rsidRDefault="000D3FD0">
    <w:pPr>
      <w:pStyle w:val="Pieddepage"/>
      <w:rPr>
        <w:b/>
        <w:bCs/>
        <w:i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F7" w:rsidRDefault="00DD3AF7" w:rsidP="00A50E11">
      <w:r>
        <w:separator/>
      </w:r>
    </w:p>
  </w:footnote>
  <w:footnote w:type="continuationSeparator" w:id="0">
    <w:p w:rsidR="00DD3AF7" w:rsidRDefault="00DD3AF7" w:rsidP="00A5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08"/>
      <w:gridCol w:w="3003"/>
    </w:tblGrid>
    <w:tr w:rsidR="00A50E11">
      <w:tc>
        <w:tcPr>
          <w:tcW w:w="3500" w:type="pct"/>
          <w:tcBorders>
            <w:bottom w:val="single" w:sz="4" w:space="0" w:color="auto"/>
          </w:tcBorders>
          <w:vAlign w:val="bottom"/>
        </w:tcPr>
        <w:p w:rsidR="00B8091D" w:rsidRPr="005E511D" w:rsidRDefault="003A7BC0" w:rsidP="00B8091D">
          <w:pPr>
            <w:pStyle w:val="En-tte"/>
            <w:rPr>
              <w:b/>
              <w:bCs/>
              <w:color w:val="000000" w:themeColor="text1"/>
              <w:sz w:val="28"/>
              <w:szCs w:val="28"/>
            </w:rPr>
          </w:pPr>
          <w:r>
            <w:rPr>
              <w:b/>
              <w:bCs/>
              <w:color w:val="000000" w:themeColor="text1"/>
              <w:sz w:val="28"/>
              <w:szCs w:val="28"/>
            </w:rPr>
            <w:t xml:space="preserve">Défi : </w:t>
          </w:r>
          <w:r w:rsidR="005B0B5D">
            <w:rPr>
              <w:b/>
              <w:bCs/>
              <w:color w:val="000000" w:themeColor="text1"/>
              <w:sz w:val="28"/>
              <w:szCs w:val="28"/>
            </w:rPr>
            <w:t>L’agroenvironnement</w:t>
          </w:r>
        </w:p>
        <w:p w:rsidR="003B7F78" w:rsidRDefault="00A72C86" w:rsidP="00A72C8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Cours : </w:t>
          </w:r>
          <w:r w:rsidR="00F823F8">
            <w:rPr>
              <w:b/>
              <w:bCs/>
              <w:color w:val="000000" w:themeColor="text1"/>
              <w:sz w:val="16"/>
              <w:szCs w:val="16"/>
            </w:rPr>
            <w:t>MAT-</w:t>
          </w:r>
          <w:r w:rsidR="00071D14">
            <w:rPr>
              <w:b/>
              <w:bCs/>
              <w:color w:val="000000" w:themeColor="text1"/>
              <w:sz w:val="16"/>
              <w:szCs w:val="16"/>
            </w:rPr>
            <w:t>41</w:t>
          </w:r>
          <w:r w:rsidR="00FE15F0">
            <w:rPr>
              <w:b/>
              <w:bCs/>
              <w:color w:val="000000" w:themeColor="text1"/>
              <w:sz w:val="16"/>
              <w:szCs w:val="16"/>
            </w:rPr>
            <w:t>7</w:t>
          </w:r>
          <w:r w:rsidR="003B7F78" w:rsidRPr="005E511D">
            <w:rPr>
              <w:b/>
              <w:bCs/>
              <w:color w:val="000000" w:themeColor="text1"/>
              <w:sz w:val="16"/>
              <w:szCs w:val="16"/>
            </w:rPr>
            <w:t>1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>-</w:t>
          </w:r>
          <w:r w:rsidR="003A7BC0">
            <w:rPr>
              <w:b/>
              <w:bCs/>
              <w:color w:val="000000" w:themeColor="text1"/>
              <w:sz w:val="16"/>
              <w:szCs w:val="16"/>
            </w:rPr>
            <w:t>2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  Modélisation algébrique et graphique </w:t>
          </w:r>
          <w:r w:rsidR="00071D14">
            <w:rPr>
              <w:b/>
              <w:bCs/>
              <w:color w:val="000000" w:themeColor="text1"/>
              <w:sz w:val="16"/>
              <w:szCs w:val="16"/>
            </w:rPr>
            <w:t xml:space="preserve">en contexte </w:t>
          </w:r>
          <w:r w:rsidR="00FE15F0">
            <w:rPr>
              <w:b/>
              <w:bCs/>
              <w:color w:val="000000" w:themeColor="text1"/>
              <w:sz w:val="16"/>
              <w:szCs w:val="16"/>
            </w:rPr>
            <w:t>fondamental 1</w:t>
          </w:r>
        </w:p>
        <w:p w:rsidR="00F823F8" w:rsidRPr="00F823F8" w:rsidRDefault="00F823F8" w:rsidP="00FE15F0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3A7BC0" w:rsidRDefault="003A7BC0" w:rsidP="003A7BC0">
          <w:pPr>
            <w:pStyle w:val="En-tte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AQIFGA 2017</w:t>
          </w:r>
          <w:r w:rsidRPr="005E511D">
            <w:rPr>
              <w:b/>
              <w:color w:val="FFFFFF" w:themeColor="background1"/>
            </w:rPr>
            <w:t xml:space="preserve"> </w:t>
          </w:r>
        </w:p>
        <w:p w:rsidR="003A7BC0" w:rsidRPr="005E511D" w:rsidRDefault="003A7BC0" w:rsidP="003A7BC0">
          <w:pPr>
            <w:pStyle w:val="En-tte"/>
            <w:rPr>
              <w:b/>
              <w:color w:val="FFFFFF" w:themeColor="background1"/>
            </w:rPr>
          </w:pPr>
          <w:proofErr w:type="spellStart"/>
          <w:r>
            <w:rPr>
              <w:b/>
              <w:color w:val="FFFFFF" w:themeColor="background1"/>
            </w:rPr>
            <w:t>Geogebra</w:t>
          </w:r>
          <w:proofErr w:type="spellEnd"/>
          <w:r>
            <w:rPr>
              <w:b/>
              <w:color w:val="FFFFFF" w:themeColor="background1"/>
            </w:rPr>
            <w:t xml:space="preserve"> et m</w:t>
          </w:r>
          <w:r w:rsidRPr="005E511D">
            <w:rPr>
              <w:b/>
              <w:color w:val="FFFFFF" w:themeColor="background1"/>
            </w:rPr>
            <w:t>athématique FBD</w:t>
          </w:r>
        </w:p>
        <w:p w:rsidR="00F823F8" w:rsidRPr="009D6D37" w:rsidRDefault="00F823F8" w:rsidP="000701CA">
          <w:pPr>
            <w:pStyle w:val="En-tte"/>
            <w:rPr>
              <w:b/>
              <w:color w:val="FFFFFF" w:themeColor="background1"/>
            </w:rPr>
          </w:pPr>
        </w:p>
      </w:tc>
    </w:tr>
  </w:tbl>
  <w:p w:rsidR="00A50E11" w:rsidRDefault="00A50E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35DD"/>
    <w:multiLevelType w:val="hybridMultilevel"/>
    <w:tmpl w:val="49E08F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A61BC"/>
    <w:multiLevelType w:val="hybridMultilevel"/>
    <w:tmpl w:val="45F05B3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A2003"/>
    <w:multiLevelType w:val="hybridMultilevel"/>
    <w:tmpl w:val="82B6EC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2529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0E11"/>
    <w:rsid w:val="000022E3"/>
    <w:rsid w:val="0001723A"/>
    <w:rsid w:val="000214B1"/>
    <w:rsid w:val="000406EC"/>
    <w:rsid w:val="0005268E"/>
    <w:rsid w:val="000701CA"/>
    <w:rsid w:val="00071D14"/>
    <w:rsid w:val="000C3A65"/>
    <w:rsid w:val="000C7E99"/>
    <w:rsid w:val="000D3FD0"/>
    <w:rsid w:val="000F2491"/>
    <w:rsid w:val="00117938"/>
    <w:rsid w:val="001551E6"/>
    <w:rsid w:val="00162A01"/>
    <w:rsid w:val="00165A4A"/>
    <w:rsid w:val="00176456"/>
    <w:rsid w:val="001803D8"/>
    <w:rsid w:val="001A35DE"/>
    <w:rsid w:val="001C2A16"/>
    <w:rsid w:val="001C4C72"/>
    <w:rsid w:val="001C51E0"/>
    <w:rsid w:val="001D2C5A"/>
    <w:rsid w:val="0020086D"/>
    <w:rsid w:val="00200DFE"/>
    <w:rsid w:val="00223DE2"/>
    <w:rsid w:val="002506E8"/>
    <w:rsid w:val="00275B61"/>
    <w:rsid w:val="00280B93"/>
    <w:rsid w:val="00286AA7"/>
    <w:rsid w:val="002A6667"/>
    <w:rsid w:val="002C1DB0"/>
    <w:rsid w:val="002C59E0"/>
    <w:rsid w:val="002F3B05"/>
    <w:rsid w:val="003335E4"/>
    <w:rsid w:val="003648B5"/>
    <w:rsid w:val="00370E4A"/>
    <w:rsid w:val="003A26E2"/>
    <w:rsid w:val="003A7BC0"/>
    <w:rsid w:val="003B7F78"/>
    <w:rsid w:val="0041421B"/>
    <w:rsid w:val="00476CB8"/>
    <w:rsid w:val="004A1C70"/>
    <w:rsid w:val="004A2437"/>
    <w:rsid w:val="004B1337"/>
    <w:rsid w:val="004B2B65"/>
    <w:rsid w:val="004F42E1"/>
    <w:rsid w:val="00503FD8"/>
    <w:rsid w:val="00552BC0"/>
    <w:rsid w:val="00580000"/>
    <w:rsid w:val="0059244B"/>
    <w:rsid w:val="005B0807"/>
    <w:rsid w:val="005B0B5D"/>
    <w:rsid w:val="005E5115"/>
    <w:rsid w:val="005E511D"/>
    <w:rsid w:val="005E5E28"/>
    <w:rsid w:val="005F1536"/>
    <w:rsid w:val="006147B6"/>
    <w:rsid w:val="006C1D18"/>
    <w:rsid w:val="006E217E"/>
    <w:rsid w:val="006F0645"/>
    <w:rsid w:val="006F1B4D"/>
    <w:rsid w:val="007062F8"/>
    <w:rsid w:val="00753B49"/>
    <w:rsid w:val="00763471"/>
    <w:rsid w:val="007764A2"/>
    <w:rsid w:val="007A4B32"/>
    <w:rsid w:val="007B4DCA"/>
    <w:rsid w:val="007D042B"/>
    <w:rsid w:val="007D4F06"/>
    <w:rsid w:val="00803BB4"/>
    <w:rsid w:val="00846609"/>
    <w:rsid w:val="00850875"/>
    <w:rsid w:val="008F4F5D"/>
    <w:rsid w:val="00916662"/>
    <w:rsid w:val="009306FA"/>
    <w:rsid w:val="00984535"/>
    <w:rsid w:val="00994114"/>
    <w:rsid w:val="009D6D37"/>
    <w:rsid w:val="009E31FF"/>
    <w:rsid w:val="00A21567"/>
    <w:rsid w:val="00A50E11"/>
    <w:rsid w:val="00A72C86"/>
    <w:rsid w:val="00A9376B"/>
    <w:rsid w:val="00AD3EC6"/>
    <w:rsid w:val="00AE4A41"/>
    <w:rsid w:val="00AF32E8"/>
    <w:rsid w:val="00B26C0B"/>
    <w:rsid w:val="00B4246D"/>
    <w:rsid w:val="00B57B3D"/>
    <w:rsid w:val="00B8091D"/>
    <w:rsid w:val="00B95195"/>
    <w:rsid w:val="00BA0406"/>
    <w:rsid w:val="00BA0E0E"/>
    <w:rsid w:val="00BE3A64"/>
    <w:rsid w:val="00C060D1"/>
    <w:rsid w:val="00C3664D"/>
    <w:rsid w:val="00C43C6D"/>
    <w:rsid w:val="00C7513F"/>
    <w:rsid w:val="00CA2F32"/>
    <w:rsid w:val="00D03EC0"/>
    <w:rsid w:val="00D07B1A"/>
    <w:rsid w:val="00D752DF"/>
    <w:rsid w:val="00D80147"/>
    <w:rsid w:val="00D81071"/>
    <w:rsid w:val="00DD3AF7"/>
    <w:rsid w:val="00E14117"/>
    <w:rsid w:val="00E549C3"/>
    <w:rsid w:val="00EA6598"/>
    <w:rsid w:val="00EE2318"/>
    <w:rsid w:val="00F66BED"/>
    <w:rsid w:val="00F823F8"/>
    <w:rsid w:val="00F97FE4"/>
    <w:rsid w:val="00FA3822"/>
    <w:rsid w:val="00FB5933"/>
    <w:rsid w:val="00FE15F0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3</cp:revision>
  <cp:lastPrinted>2016-11-10T21:37:00Z</cp:lastPrinted>
  <dcterms:created xsi:type="dcterms:W3CDTF">2017-04-11T19:18:00Z</dcterms:created>
  <dcterms:modified xsi:type="dcterms:W3CDTF">2017-04-11T19:33:00Z</dcterms:modified>
</cp:coreProperties>
</file>