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1" w:rsidRDefault="00166A91" w:rsidP="00C5622E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C5622E" w:rsidRDefault="00166A91" w:rsidP="00C5622E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 w:rsidRPr="000204C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EC0C" wp14:editId="7A9B6365">
                <wp:simplePos x="0" y="0"/>
                <wp:positionH relativeFrom="column">
                  <wp:posOffset>-80010</wp:posOffset>
                </wp:positionH>
                <wp:positionV relativeFrom="paragraph">
                  <wp:posOffset>201626</wp:posOffset>
                </wp:positionV>
                <wp:extent cx="3276600" cy="26670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2E" w:rsidRPr="00062ACD" w:rsidRDefault="00C5622E" w:rsidP="00C5622E">
                            <w:pPr>
                              <w:rPr>
                                <w:i/>
                              </w:rPr>
                            </w:pPr>
                            <w:hyperlink r:id="rId9" w:history="1">
                              <w:r w:rsidRPr="00062ACD">
                                <w:rPr>
                                  <w:rStyle w:val="Lienhypertexte"/>
                                  <w:i/>
                                </w:rPr>
                                <w:t>https://fr.wikipedia.org/wiki/Gaz_%C3%A0_effet_de_serre</w:t>
                              </w:r>
                            </w:hyperlink>
                          </w:p>
                          <w:p w:rsidR="00C5622E" w:rsidRPr="000204C0" w:rsidRDefault="00C5622E" w:rsidP="00C5622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3pt;margin-top:15.9pt;width:25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" filled="f" stroked="f">
                <v:textbox>
                  <w:txbxContent>
                    <w:p w:rsidR="00C5622E" w:rsidRPr="00062ACD" w:rsidRDefault="00C5622E" w:rsidP="00C5622E">
                      <w:pPr>
                        <w:rPr>
                          <w:i/>
                        </w:rPr>
                      </w:pPr>
                      <w:hyperlink r:id="rId10" w:history="1">
                        <w:r w:rsidRPr="00062ACD">
                          <w:rPr>
                            <w:rStyle w:val="Lienhypertexte"/>
                            <w:i/>
                          </w:rPr>
                          <w:t>https://fr.wikipedia.org/wiki/Gaz_%C3%A0_effet_de_serre</w:t>
                        </w:r>
                      </w:hyperlink>
                    </w:p>
                    <w:p w:rsidR="00C5622E" w:rsidRPr="000204C0" w:rsidRDefault="00C5622E" w:rsidP="00C5622E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22E">
        <w:rPr>
          <w:rFonts w:ascii="Arial" w:hAnsi="Arial" w:cs="Arial"/>
          <w:b/>
          <w:sz w:val="32"/>
          <w:szCs w:val="32"/>
          <w:u w:val="single"/>
        </w:rPr>
        <w:t>Émission de GES</w:t>
      </w: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  <w:r w:rsidRPr="000204C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27710" wp14:editId="0F1E59C3">
                <wp:simplePos x="0" y="0"/>
                <wp:positionH relativeFrom="column">
                  <wp:posOffset>3425664</wp:posOffset>
                </wp:positionH>
                <wp:positionV relativeFrom="paragraph">
                  <wp:posOffset>1300480</wp:posOffset>
                </wp:positionV>
                <wp:extent cx="1310005" cy="140398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2E" w:rsidRPr="000204C0" w:rsidRDefault="00C5622E" w:rsidP="00C5622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Pr="0006741D">
                                <w:rPr>
                                  <w:rStyle w:val="Lienhypertexte"/>
                                  <w:i/>
                                  <w:sz w:val="16"/>
                                  <w:szCs w:val="16"/>
                                </w:rPr>
                                <w:t>Source : Larousse en ligne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9.75pt;margin-top:102.4pt;width:103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" filled="f" stroked="f">
                <v:textbox style="mso-fit-shape-to-text:t">
                  <w:txbxContent>
                    <w:p w:rsidR="00C5622E" w:rsidRPr="000204C0" w:rsidRDefault="00C5622E" w:rsidP="00C5622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hyperlink r:id="rId12" w:history="1">
                        <w:r w:rsidRPr="0006741D">
                          <w:rPr>
                            <w:rStyle w:val="Lienhypertexte"/>
                            <w:i/>
                            <w:sz w:val="16"/>
                            <w:szCs w:val="16"/>
                          </w:rPr>
                          <w:t>Source : Larousse en ligne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A66431E" wp14:editId="60298EFE">
            <wp:simplePos x="0" y="0"/>
            <wp:positionH relativeFrom="column">
              <wp:posOffset>3503295</wp:posOffset>
            </wp:positionH>
            <wp:positionV relativeFrom="paragraph">
              <wp:posOffset>24765</wp:posOffset>
            </wp:positionV>
            <wp:extent cx="2613660" cy="1332865"/>
            <wp:effectExtent l="0" t="0" r="0" b="635"/>
            <wp:wrapSquare wrapText="bothSides"/>
            <wp:docPr id="14" name="Image 14" descr="Résultats de recherche d'images pour « gaz à effet de ser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gaz à effet de serre 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ACD">
        <w:rPr>
          <w:rFonts w:ascii="Arial" w:hAnsi="Arial" w:cs="Arial"/>
          <w:sz w:val="24"/>
          <w:szCs w:val="24"/>
        </w:rPr>
        <w:t>Les gaz à effet de serre (GES) sont des composants gazeux qui absorbent le rayonnement infrarouge émis par la surface terrestre et contribuent à l'effet de serre. L'augmentation de leur concentration dans l'atmosphère terrestre est l'un des facteurs d'impact à l'origine du récent réchauffement climatique.</w:t>
      </w: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  <w:r w:rsidRPr="00062ACD">
        <w:rPr>
          <w:rFonts w:ascii="Arial" w:hAnsi="Arial" w:cs="Arial"/>
          <w:sz w:val="24"/>
          <w:szCs w:val="24"/>
        </w:rPr>
        <w:t xml:space="preserve">Sous l'effet des gaz à effet de serre, l'atmosphère terrestre se comporte en partie comme la vitre d'une serre, laissant entrer une grosse partie du rayonnement solaire, mais retenant le rayonnement infrarouge réémis. </w:t>
      </w:r>
      <w:r>
        <w:rPr>
          <w:rFonts w:ascii="Arial" w:hAnsi="Arial" w:cs="Arial"/>
          <w:sz w:val="24"/>
          <w:szCs w:val="24"/>
        </w:rPr>
        <w:t xml:space="preserve">Les émissions de GES proviennent en grande partie des hydrocarbures (charbon, pétrole, gaz). </w:t>
      </w: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remarque que les pays ayant une grande population, comme la Chine et les États-Unis par exemple, émettent une grande quantité de ces gaz. Peut-on à ce moment affirmer que plus il y a d’habitants dans un pays, plus l’utilisation de ces hydrocarbures est grande ?…</w:t>
      </w: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un tableau illustrant les plus grands émetteurs de GES à l’échelle mondiale et leur population respective.</w:t>
      </w: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260"/>
        <w:gridCol w:w="2977"/>
      </w:tblGrid>
      <w:tr w:rsidR="00C5622E" w:rsidTr="00096DE9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C5622E" w:rsidRPr="00075700" w:rsidRDefault="00C5622E" w:rsidP="00096DE9">
            <w:r w:rsidRPr="00075700">
              <w:t>Pays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5622E" w:rsidRPr="00075700" w:rsidRDefault="00C5622E" w:rsidP="00096DE9">
            <w:r w:rsidRPr="00075700">
              <w:t>Population</w:t>
            </w:r>
            <w:r>
              <w:t xml:space="preserve"> en milliards d’habitants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5622E" w:rsidRDefault="00C5622E" w:rsidP="00096DE9">
            <w:r w:rsidRPr="00075700">
              <w:t>GES</w:t>
            </w:r>
            <w:r>
              <w:t xml:space="preserve"> en milliers -de Mégatonnes </w:t>
            </w:r>
          </w:p>
          <w:p w:rsidR="00C5622E" w:rsidRPr="00075700" w:rsidRDefault="00C5622E" w:rsidP="00096DE9">
            <w:r>
              <w:t>d’équivalent de carbone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Chine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 w:rsidRPr="00075700">
              <w:t>1</w:t>
            </w:r>
            <w:r>
              <w:t>,</w:t>
            </w:r>
            <w:r w:rsidRPr="00075700">
              <w:t>38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11,</w:t>
            </w:r>
            <w:r w:rsidRPr="00075700">
              <w:t>03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États-Unis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51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6,</w:t>
            </w:r>
            <w:r w:rsidRPr="00075700">
              <w:t>26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Union-Européenne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33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4,</w:t>
            </w:r>
            <w:r w:rsidRPr="00075700">
              <w:t>41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Inde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1,</w:t>
            </w:r>
            <w:r w:rsidRPr="00075700">
              <w:t>33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3,</w:t>
            </w:r>
            <w:r w:rsidRPr="00075700">
              <w:t>02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Russie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15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2,</w:t>
            </w:r>
            <w:r w:rsidRPr="00075700">
              <w:t>34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Japon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08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1,</w:t>
            </w:r>
            <w:r w:rsidRPr="00075700">
              <w:t>35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Brésil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21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1,</w:t>
            </w:r>
            <w:r w:rsidRPr="00075700">
              <w:t>0</w:t>
            </w:r>
            <w:r>
              <w:t>4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Indonésie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26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77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Mexique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12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72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Iran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08</w:t>
            </w:r>
          </w:p>
        </w:tc>
        <w:tc>
          <w:tcPr>
            <w:tcW w:w="2977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72</w:t>
            </w:r>
          </w:p>
        </w:tc>
      </w:tr>
      <w:tr w:rsidR="00C5622E" w:rsidTr="00096DE9">
        <w:trPr>
          <w:jc w:val="center"/>
        </w:trPr>
        <w:tc>
          <w:tcPr>
            <w:tcW w:w="1951" w:type="dxa"/>
          </w:tcPr>
          <w:p w:rsidR="00C5622E" w:rsidRPr="00075700" w:rsidRDefault="00C5622E" w:rsidP="00096DE9">
            <w:r w:rsidRPr="00075700">
              <w:t>Canada</w:t>
            </w:r>
          </w:p>
        </w:tc>
        <w:tc>
          <w:tcPr>
            <w:tcW w:w="3260" w:type="dxa"/>
          </w:tcPr>
          <w:p w:rsidR="00C5622E" w:rsidRPr="00075700" w:rsidRDefault="00C5622E" w:rsidP="00096DE9">
            <w:pPr>
              <w:jc w:val="center"/>
            </w:pPr>
            <w:r>
              <w:t>0,</w:t>
            </w:r>
            <w:r w:rsidRPr="00075700">
              <w:t>04</w:t>
            </w:r>
          </w:p>
        </w:tc>
        <w:tc>
          <w:tcPr>
            <w:tcW w:w="2977" w:type="dxa"/>
          </w:tcPr>
          <w:p w:rsidR="00C5622E" w:rsidRDefault="00C5622E" w:rsidP="00096DE9">
            <w:pPr>
              <w:jc w:val="center"/>
            </w:pPr>
            <w:r>
              <w:t>0,</w:t>
            </w:r>
            <w:r w:rsidRPr="00075700">
              <w:t>72</w:t>
            </w:r>
          </w:p>
        </w:tc>
      </w:tr>
    </w:tbl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C5622E" w:rsidRDefault="00C5622E" w:rsidP="00C5622E">
      <w:pPr>
        <w:rPr>
          <w:rFonts w:ascii="Arial" w:hAnsi="Arial" w:cs="Arial"/>
          <w:b/>
          <w:sz w:val="24"/>
          <w:szCs w:val="24"/>
        </w:rPr>
      </w:pPr>
      <w:r w:rsidRPr="00D31BB8">
        <w:rPr>
          <w:rFonts w:ascii="Arial" w:hAnsi="Arial" w:cs="Arial"/>
          <w:b/>
          <w:sz w:val="24"/>
          <w:szCs w:val="24"/>
        </w:rPr>
        <w:t xml:space="preserve">À partir des données de ce tableau, peut-on affirmer que plus la population d’un </w:t>
      </w:r>
      <w:proofErr w:type="gramStart"/>
      <w:r w:rsidRPr="00D31BB8">
        <w:rPr>
          <w:rFonts w:ascii="Arial" w:hAnsi="Arial" w:cs="Arial"/>
          <w:b/>
          <w:sz w:val="24"/>
          <w:szCs w:val="24"/>
        </w:rPr>
        <w:t>pays est</w:t>
      </w:r>
      <w:proofErr w:type="gramEnd"/>
      <w:r w:rsidRPr="00D31BB8">
        <w:rPr>
          <w:rFonts w:ascii="Arial" w:hAnsi="Arial" w:cs="Arial"/>
          <w:b/>
          <w:sz w:val="24"/>
          <w:szCs w:val="24"/>
        </w:rPr>
        <w:t xml:space="preserve"> élevée, plus l’émission de GES </w:t>
      </w:r>
      <w:r>
        <w:rPr>
          <w:rFonts w:ascii="Arial" w:hAnsi="Arial" w:cs="Arial"/>
          <w:b/>
          <w:sz w:val="24"/>
          <w:szCs w:val="24"/>
        </w:rPr>
        <w:t>est</w:t>
      </w:r>
      <w:r w:rsidRPr="00D31BB8">
        <w:rPr>
          <w:rFonts w:ascii="Arial" w:hAnsi="Arial" w:cs="Arial"/>
          <w:b/>
          <w:sz w:val="24"/>
          <w:szCs w:val="24"/>
        </w:rPr>
        <w:t xml:space="preserve"> grande ?</w:t>
      </w:r>
    </w:p>
    <w:p w:rsidR="004A2437" w:rsidRDefault="004A2437" w:rsidP="00E03C77">
      <w:pPr>
        <w:jc w:val="both"/>
        <w:rPr>
          <w:rFonts w:ascii="Arial" w:hAnsi="Arial" w:cs="Arial"/>
          <w:sz w:val="24"/>
          <w:szCs w:val="24"/>
        </w:rPr>
      </w:pPr>
    </w:p>
    <w:sectPr w:rsidR="004A2437">
      <w:headerReference w:type="default" r:id="rId14"/>
      <w:footerReference w:type="default" r:id="rId15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E4" w:rsidRDefault="002E4CE4" w:rsidP="00A50E11">
      <w:r>
        <w:separator/>
      </w:r>
    </w:p>
  </w:endnote>
  <w:endnote w:type="continuationSeparator" w:id="0">
    <w:p w:rsidR="002E4CE4" w:rsidRDefault="002E4CE4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C5622E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 xml:space="preserve"> / CP / CÉAPO / Février 2017</w:t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E4" w:rsidRDefault="002E4CE4" w:rsidP="00A50E11">
      <w:r>
        <w:separator/>
      </w:r>
    </w:p>
  </w:footnote>
  <w:footnote w:type="continuationSeparator" w:id="0">
    <w:p w:rsidR="002E4CE4" w:rsidRDefault="002E4CE4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166A91">
            <w:rPr>
              <w:b/>
              <w:bCs/>
              <w:color w:val="000000" w:themeColor="text1"/>
              <w:sz w:val="28"/>
              <w:szCs w:val="28"/>
            </w:rPr>
            <w:t>Émission de GES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52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Collecte de données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général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66A91"/>
    <w:rsid w:val="00176456"/>
    <w:rsid w:val="001803D8"/>
    <w:rsid w:val="001A35DE"/>
    <w:rsid w:val="001C2A16"/>
    <w:rsid w:val="001C4C72"/>
    <w:rsid w:val="001C51E0"/>
    <w:rsid w:val="001D2C5A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E4CE4"/>
    <w:rsid w:val="002F3B05"/>
    <w:rsid w:val="003335E4"/>
    <w:rsid w:val="003648B5"/>
    <w:rsid w:val="00370E4A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B0B5D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84535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5622E"/>
    <w:rsid w:val="00C7513F"/>
    <w:rsid w:val="00CA2F32"/>
    <w:rsid w:val="00D03EC0"/>
    <w:rsid w:val="00D07B1A"/>
    <w:rsid w:val="00D752DF"/>
    <w:rsid w:val="00D80147"/>
    <w:rsid w:val="00D81071"/>
    <w:rsid w:val="00DD3AF7"/>
    <w:rsid w:val="00E03C7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2E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03C77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E03C77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2E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03C77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E03C77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rousse.fr/encyclopedie/divers/effet_de_serre/91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rousse.fr/encyclopedie/divers/effet_de_serre/915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r.wikipedia.org/wiki/Gaz_%C3%A0_effet_de_ser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r.wikipedia.org/wiki/Gaz_%C3%A0_effet_de_ser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3</cp:revision>
  <cp:lastPrinted>2016-11-10T21:37:00Z</cp:lastPrinted>
  <dcterms:created xsi:type="dcterms:W3CDTF">2017-04-18T13:05:00Z</dcterms:created>
  <dcterms:modified xsi:type="dcterms:W3CDTF">2017-04-18T13:06:00Z</dcterms:modified>
</cp:coreProperties>
</file>