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563C52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L’ascension du Kilimandjaro</w:t>
      </w:r>
    </w:p>
    <w:p w:rsidR="0029643B" w:rsidRDefault="005C5D3E" w:rsidP="0029643B">
      <w:pPr>
        <w:rPr>
          <w:rFonts w:ascii="Arial" w:hAnsi="Arial" w:cs="Arial"/>
          <w:i/>
          <w:sz w:val="16"/>
          <w:szCs w:val="16"/>
        </w:rPr>
      </w:pPr>
      <w:hyperlink r:id="rId9" w:history="1">
        <w:r w:rsidR="0029643B" w:rsidRPr="00652183">
          <w:rPr>
            <w:rStyle w:val="Lienhypertexte"/>
            <w:rFonts w:ascii="Arial" w:hAnsi="Arial" w:cs="Arial"/>
            <w:i/>
            <w:sz w:val="16"/>
            <w:szCs w:val="16"/>
          </w:rPr>
          <w:t>https://fr.wikipedia.org/wiki/Kilimandjaro</w:t>
        </w:r>
      </w:hyperlink>
    </w:p>
    <w:p w:rsidR="0029643B" w:rsidRDefault="005C5D3E" w:rsidP="0029643B">
      <w:pPr>
        <w:rPr>
          <w:rFonts w:ascii="Arial" w:hAnsi="Arial" w:cs="Arial"/>
          <w:i/>
          <w:sz w:val="16"/>
          <w:szCs w:val="16"/>
        </w:rPr>
      </w:pPr>
      <w:hyperlink r:id="rId10" w:history="1">
        <w:r w:rsidR="0029643B" w:rsidRPr="00114133">
          <w:rPr>
            <w:rStyle w:val="Lienhypertexte"/>
            <w:rFonts w:ascii="Arial" w:hAnsi="Arial" w:cs="Arial"/>
            <w:i/>
            <w:sz w:val="16"/>
            <w:szCs w:val="16"/>
          </w:rPr>
          <w:t>Site Terre d’Aventure</w:t>
        </w:r>
      </w:hyperlink>
    </w:p>
    <w:p w:rsidR="000D3FD0" w:rsidRDefault="000D3FD0" w:rsidP="0029643B">
      <w:bookmarkStart w:id="0" w:name="_GoBack"/>
      <w:bookmarkEnd w:id="0"/>
    </w:p>
    <w:p w:rsidR="00223DE2" w:rsidRDefault="00223DE2" w:rsidP="000D3FD0"/>
    <w:p w:rsidR="00563C52" w:rsidRDefault="00563C52" w:rsidP="00563C5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Le Kilimandjaro ou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Kilimanjaro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 une montagne située dans le nord-est de la Tanzanie et composée de trois volcans : le Shira à l’ouest, culminant à 3 962 mètres d’altitude, le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Mawenzi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à l’est, s’élevant à 5 149 mètres d’altitude, et le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Kibo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le plus récent géologiquement, situé entre les deux autres et dont le pic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Uhuru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à 5 891,8 mètres d’altitude constitue le point culminant de l’Afrique.</w:t>
      </w:r>
    </w:p>
    <w:p w:rsidR="00563C52" w:rsidRDefault="00563C52" w:rsidP="00563C5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63C52" w:rsidRDefault="00563C52" w:rsidP="00563C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1141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Kilimandjaro est accessible à des marcheurs entraînés et surtout motivés.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Certains organismes offrent des excursions de plusieurs jours,</w:t>
      </w:r>
      <w:r w:rsidRPr="001141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114133">
        <w:rPr>
          <w:rFonts w:ascii="Arial" w:hAnsi="Arial" w:cs="Arial"/>
          <w:color w:val="000000"/>
          <w:sz w:val="24"/>
          <w:szCs w:val="24"/>
          <w:shd w:val="clear" w:color="auto" w:fill="FFFFFF"/>
        </w:rPr>
        <w:t>e tout avec une logistique parfaite et bien rodée.</w:t>
      </w:r>
    </w:p>
    <w:p w:rsidR="00563C52" w:rsidRDefault="00563C52" w:rsidP="00563C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3C52" w:rsidRDefault="00563C52" w:rsidP="00563C5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3C52" w:rsidRDefault="00563C52" w:rsidP="00563C52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Situation-problème</w:t>
      </w:r>
    </w:p>
    <w:p w:rsidR="00563C52" w:rsidRDefault="00563C52" w:rsidP="00563C52">
      <w:pPr>
        <w:tabs>
          <w:tab w:val="left" w:pos="6061"/>
        </w:tabs>
      </w:pPr>
    </w:p>
    <w:p w:rsidR="00563C52" w:rsidRPr="002C1DB0" w:rsidRDefault="00563C52" w:rsidP="00563C52">
      <w:pPr>
        <w:jc w:val="both"/>
        <w:rPr>
          <w:rFonts w:ascii="Arial" w:hAnsi="Arial" w:cs="Arial"/>
          <w:sz w:val="22"/>
          <w:szCs w:val="22"/>
        </w:rPr>
      </w:pPr>
      <w:r w:rsidRPr="002C1DB0">
        <w:rPr>
          <w:rFonts w:ascii="Arial" w:hAnsi="Arial" w:cs="Arial"/>
          <w:sz w:val="22"/>
          <w:szCs w:val="22"/>
        </w:rPr>
        <w:t>Un groupe d’amis décide de s’entraîner afin de faire l’ascension du mont Kilimandjaro.</w:t>
      </w:r>
    </w:p>
    <w:p w:rsidR="00563C52" w:rsidRPr="002C1DB0" w:rsidRDefault="00563C52" w:rsidP="00563C52">
      <w:pPr>
        <w:jc w:val="both"/>
        <w:rPr>
          <w:rFonts w:ascii="Arial" w:hAnsi="Arial" w:cs="Arial"/>
          <w:sz w:val="22"/>
          <w:szCs w:val="22"/>
        </w:rPr>
      </w:pPr>
    </w:p>
    <w:p w:rsidR="00563C52" w:rsidRPr="002C1DB0" w:rsidRDefault="00563C52" w:rsidP="00563C52">
      <w:pPr>
        <w:jc w:val="both"/>
        <w:rPr>
          <w:rFonts w:ascii="Arial" w:hAnsi="Arial" w:cs="Arial"/>
          <w:sz w:val="22"/>
          <w:szCs w:val="22"/>
        </w:rPr>
      </w:pPr>
      <w:r w:rsidRPr="002C1DB0">
        <w:rPr>
          <w:rFonts w:ascii="Arial" w:hAnsi="Arial" w:cs="Arial"/>
          <w:sz w:val="22"/>
          <w:szCs w:val="22"/>
        </w:rPr>
        <w:t xml:space="preserve">La marche d’approche du sommet du Kilimandjaro par la voie </w:t>
      </w:r>
      <w:proofErr w:type="spellStart"/>
      <w:r w:rsidRPr="002C1DB0">
        <w:rPr>
          <w:rFonts w:ascii="Arial" w:hAnsi="Arial" w:cs="Arial"/>
          <w:sz w:val="22"/>
          <w:szCs w:val="22"/>
        </w:rPr>
        <w:t>Machame</w:t>
      </w:r>
      <w:proofErr w:type="spellEnd"/>
      <w:r w:rsidRPr="002C1DB0">
        <w:rPr>
          <w:rFonts w:ascii="Arial" w:hAnsi="Arial" w:cs="Arial"/>
          <w:sz w:val="22"/>
          <w:szCs w:val="22"/>
        </w:rPr>
        <w:t xml:space="preserve"> dure 5 jours, le point de départ se situant à la Porte de </w:t>
      </w:r>
      <w:proofErr w:type="spellStart"/>
      <w:r w:rsidRPr="002C1DB0">
        <w:rPr>
          <w:rFonts w:ascii="Arial" w:hAnsi="Arial" w:cs="Arial"/>
          <w:sz w:val="22"/>
          <w:szCs w:val="22"/>
        </w:rPr>
        <w:t>Machame</w:t>
      </w:r>
      <w:proofErr w:type="spellEnd"/>
      <w:r w:rsidRPr="002C1DB0">
        <w:rPr>
          <w:rFonts w:ascii="Arial" w:hAnsi="Arial" w:cs="Arial"/>
          <w:sz w:val="22"/>
          <w:szCs w:val="22"/>
        </w:rPr>
        <w:t xml:space="preserve"> située à 1 740 m d’altitude. </w:t>
      </w:r>
    </w:p>
    <w:p w:rsidR="00563C52" w:rsidRPr="002C1DB0" w:rsidRDefault="00563C52" w:rsidP="00563C52">
      <w:pPr>
        <w:jc w:val="both"/>
        <w:rPr>
          <w:rFonts w:ascii="Arial" w:hAnsi="Arial" w:cs="Arial"/>
          <w:sz w:val="22"/>
          <w:szCs w:val="22"/>
        </w:rPr>
      </w:pPr>
    </w:p>
    <w:p w:rsidR="00563C52" w:rsidRDefault="00563C52" w:rsidP="00563C52">
      <w:pPr>
        <w:jc w:val="both"/>
        <w:rPr>
          <w:rFonts w:ascii="Arial" w:hAnsi="Arial" w:cs="Arial"/>
          <w:sz w:val="22"/>
          <w:szCs w:val="22"/>
        </w:rPr>
      </w:pPr>
      <w:r w:rsidRPr="002C1DB0">
        <w:rPr>
          <w:rFonts w:ascii="Arial" w:hAnsi="Arial" w:cs="Arial"/>
          <w:sz w:val="22"/>
          <w:szCs w:val="22"/>
        </w:rPr>
        <w:t>Le tableau suivant illustre les destinations quotidiennes de la montée vers le sommet.</w:t>
      </w:r>
    </w:p>
    <w:p w:rsidR="00563C52" w:rsidRDefault="00563C52" w:rsidP="00563C52">
      <w:pPr>
        <w:jc w:val="both"/>
        <w:rPr>
          <w:rFonts w:ascii="Arial" w:hAnsi="Arial" w:cs="Arial"/>
          <w:sz w:val="22"/>
          <w:szCs w:val="22"/>
        </w:rPr>
      </w:pPr>
    </w:p>
    <w:p w:rsidR="00563C52" w:rsidRPr="002C1DB0" w:rsidRDefault="00563C52" w:rsidP="00563C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563C52" w:rsidTr="00F43A2F">
        <w:tc>
          <w:tcPr>
            <w:tcW w:w="1653" w:type="dxa"/>
            <w:shd w:val="clear" w:color="auto" w:fill="002060"/>
          </w:tcPr>
          <w:p w:rsidR="00563C52" w:rsidRPr="00B26C0B" w:rsidRDefault="00563C52" w:rsidP="00F43A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C0B">
              <w:rPr>
                <w:rFonts w:ascii="Arial" w:hAnsi="Arial" w:cs="Arial"/>
                <w:b/>
                <w:sz w:val="18"/>
                <w:szCs w:val="18"/>
              </w:rPr>
              <w:t>Jour</w:t>
            </w:r>
          </w:p>
        </w:tc>
        <w:tc>
          <w:tcPr>
            <w:tcW w:w="1653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1</w:t>
            </w:r>
          </w:p>
        </w:tc>
        <w:tc>
          <w:tcPr>
            <w:tcW w:w="1653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2</w:t>
            </w:r>
          </w:p>
        </w:tc>
        <w:tc>
          <w:tcPr>
            <w:tcW w:w="1654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3</w:t>
            </w:r>
          </w:p>
        </w:tc>
        <w:tc>
          <w:tcPr>
            <w:tcW w:w="1654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4</w:t>
            </w:r>
          </w:p>
        </w:tc>
        <w:tc>
          <w:tcPr>
            <w:tcW w:w="1654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5</w:t>
            </w:r>
          </w:p>
        </w:tc>
      </w:tr>
      <w:tr w:rsidR="00563C52" w:rsidTr="00F43A2F">
        <w:tc>
          <w:tcPr>
            <w:tcW w:w="1653" w:type="dxa"/>
            <w:shd w:val="clear" w:color="auto" w:fill="002060"/>
          </w:tcPr>
          <w:p w:rsidR="00563C52" w:rsidRPr="00B26C0B" w:rsidRDefault="00563C52" w:rsidP="00F43A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0B">
              <w:rPr>
                <w:rFonts w:ascii="Arial" w:hAnsi="Arial" w:cs="Arial"/>
                <w:b/>
                <w:sz w:val="18"/>
                <w:szCs w:val="18"/>
              </w:rPr>
              <w:t>Destination de fin de journée</w:t>
            </w:r>
          </w:p>
        </w:tc>
        <w:tc>
          <w:tcPr>
            <w:tcW w:w="1653" w:type="dxa"/>
            <w:vAlign w:val="center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 xml:space="preserve">Camp </w:t>
            </w:r>
            <w:proofErr w:type="spellStart"/>
            <w:r w:rsidRPr="00B26C0B">
              <w:rPr>
                <w:rFonts w:ascii="Arial" w:hAnsi="Arial" w:cs="Arial"/>
                <w:sz w:val="18"/>
                <w:szCs w:val="18"/>
              </w:rPr>
              <w:t>Machame</w:t>
            </w:r>
            <w:proofErr w:type="spellEnd"/>
          </w:p>
        </w:tc>
        <w:tc>
          <w:tcPr>
            <w:tcW w:w="1653" w:type="dxa"/>
            <w:vAlign w:val="center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Camp Shira</w:t>
            </w:r>
          </w:p>
        </w:tc>
        <w:tc>
          <w:tcPr>
            <w:tcW w:w="1654" w:type="dxa"/>
            <w:vAlign w:val="center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 xml:space="preserve">Camp </w:t>
            </w:r>
            <w:proofErr w:type="spellStart"/>
            <w:r w:rsidRPr="00B26C0B">
              <w:rPr>
                <w:rFonts w:ascii="Arial" w:hAnsi="Arial" w:cs="Arial"/>
                <w:sz w:val="18"/>
                <w:szCs w:val="18"/>
              </w:rPr>
              <w:t>Baranco</w:t>
            </w:r>
            <w:proofErr w:type="spellEnd"/>
          </w:p>
        </w:tc>
        <w:tc>
          <w:tcPr>
            <w:tcW w:w="1654" w:type="dxa"/>
            <w:vAlign w:val="center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 xml:space="preserve">Camp </w:t>
            </w:r>
            <w:proofErr w:type="spellStart"/>
            <w:r w:rsidRPr="00B26C0B">
              <w:rPr>
                <w:rFonts w:ascii="Arial" w:hAnsi="Arial" w:cs="Arial"/>
                <w:sz w:val="18"/>
                <w:szCs w:val="18"/>
              </w:rPr>
              <w:t>Barafu</w:t>
            </w:r>
            <w:proofErr w:type="spellEnd"/>
          </w:p>
        </w:tc>
        <w:tc>
          <w:tcPr>
            <w:tcW w:w="1654" w:type="dxa"/>
            <w:vAlign w:val="center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Sommet</w:t>
            </w:r>
          </w:p>
        </w:tc>
      </w:tr>
    </w:tbl>
    <w:p w:rsidR="00563C52" w:rsidRDefault="00563C52" w:rsidP="00563C52">
      <w:pPr>
        <w:jc w:val="both"/>
        <w:rPr>
          <w:rFonts w:ascii="Arial" w:hAnsi="Arial" w:cs="Arial"/>
          <w:sz w:val="24"/>
          <w:szCs w:val="24"/>
        </w:rPr>
      </w:pPr>
    </w:p>
    <w:p w:rsidR="00563C52" w:rsidRDefault="00563C52" w:rsidP="00563C52">
      <w:pPr>
        <w:jc w:val="both"/>
        <w:rPr>
          <w:rFonts w:ascii="Arial" w:hAnsi="Arial" w:cs="Arial"/>
          <w:sz w:val="24"/>
          <w:szCs w:val="24"/>
        </w:rPr>
      </w:pPr>
    </w:p>
    <w:p w:rsidR="00563C52" w:rsidRDefault="00563C52" w:rsidP="00563C52">
      <w:pPr>
        <w:jc w:val="both"/>
        <w:rPr>
          <w:rFonts w:ascii="Arial" w:hAnsi="Arial" w:cs="Arial"/>
          <w:sz w:val="22"/>
          <w:szCs w:val="22"/>
        </w:rPr>
      </w:pPr>
      <w:r w:rsidRPr="002C1DB0">
        <w:rPr>
          <w:rFonts w:ascii="Arial" w:hAnsi="Arial" w:cs="Arial"/>
          <w:sz w:val="22"/>
          <w:szCs w:val="22"/>
        </w:rPr>
        <w:t xml:space="preserve">Voici un tableau </w:t>
      </w:r>
      <w:r>
        <w:rPr>
          <w:rFonts w:ascii="Arial" w:hAnsi="Arial" w:cs="Arial"/>
          <w:sz w:val="22"/>
          <w:szCs w:val="22"/>
        </w:rPr>
        <w:t xml:space="preserve">(tableau 1) </w:t>
      </w:r>
      <w:r w:rsidRPr="002C1DB0">
        <w:rPr>
          <w:rFonts w:ascii="Arial" w:hAnsi="Arial" w:cs="Arial"/>
          <w:sz w:val="22"/>
          <w:szCs w:val="22"/>
        </w:rPr>
        <w:t xml:space="preserve">présentant l’altitude </w:t>
      </w:r>
      <w:r>
        <w:rPr>
          <w:rFonts w:ascii="Arial" w:hAnsi="Arial" w:cs="Arial"/>
          <w:sz w:val="22"/>
          <w:szCs w:val="22"/>
        </w:rPr>
        <w:t xml:space="preserve">en différents points </w:t>
      </w:r>
      <w:r w:rsidRPr="002C1DB0">
        <w:rPr>
          <w:rFonts w:ascii="Arial" w:hAnsi="Arial" w:cs="Arial"/>
          <w:sz w:val="22"/>
          <w:szCs w:val="22"/>
        </w:rPr>
        <w:t xml:space="preserve">du Kilimandjaro depuis la Porte de </w:t>
      </w:r>
      <w:proofErr w:type="spellStart"/>
      <w:r w:rsidRPr="002C1DB0">
        <w:rPr>
          <w:rFonts w:ascii="Arial" w:hAnsi="Arial" w:cs="Arial"/>
          <w:sz w:val="22"/>
          <w:szCs w:val="22"/>
        </w:rPr>
        <w:t>Machame</w:t>
      </w:r>
      <w:proofErr w:type="spellEnd"/>
      <w:r w:rsidRPr="002C1DB0">
        <w:rPr>
          <w:rFonts w:ascii="Arial" w:hAnsi="Arial" w:cs="Arial"/>
          <w:sz w:val="22"/>
          <w:szCs w:val="22"/>
        </w:rPr>
        <w:t xml:space="preserve"> selon la distance horizontale</w:t>
      </w:r>
      <w:r>
        <w:rPr>
          <w:rFonts w:ascii="Arial" w:hAnsi="Arial" w:cs="Arial"/>
          <w:sz w:val="22"/>
          <w:szCs w:val="22"/>
        </w:rPr>
        <w:t>.</w:t>
      </w:r>
    </w:p>
    <w:p w:rsidR="00563C52" w:rsidRDefault="00563C52" w:rsidP="00563C52">
      <w:pPr>
        <w:jc w:val="both"/>
        <w:rPr>
          <w:rFonts w:ascii="Arial" w:hAnsi="Arial" w:cs="Arial"/>
          <w:sz w:val="22"/>
          <w:szCs w:val="22"/>
        </w:rPr>
      </w:pPr>
    </w:p>
    <w:p w:rsidR="00563C52" w:rsidRPr="00576706" w:rsidRDefault="00563C52" w:rsidP="00563C52">
      <w:pPr>
        <w:jc w:val="both"/>
        <w:rPr>
          <w:rFonts w:ascii="Arial" w:hAnsi="Arial" w:cs="Arial"/>
          <w:sz w:val="22"/>
          <w:szCs w:val="22"/>
        </w:rPr>
      </w:pPr>
      <w:r w:rsidRPr="00576706">
        <w:rPr>
          <w:rFonts w:ascii="Arial" w:hAnsi="Arial" w:cs="Arial"/>
          <w:sz w:val="22"/>
          <w:szCs w:val="22"/>
        </w:rPr>
        <w:t xml:space="preserve">L’ascension se fait en croissance de la Porte de </w:t>
      </w:r>
      <w:proofErr w:type="spellStart"/>
      <w:r w:rsidRPr="00576706">
        <w:rPr>
          <w:rFonts w:ascii="Arial" w:hAnsi="Arial" w:cs="Arial"/>
          <w:sz w:val="22"/>
          <w:szCs w:val="22"/>
        </w:rPr>
        <w:t>Machame</w:t>
      </w:r>
      <w:proofErr w:type="spellEnd"/>
      <w:r w:rsidRPr="00576706">
        <w:rPr>
          <w:rFonts w:ascii="Arial" w:hAnsi="Arial" w:cs="Arial"/>
          <w:sz w:val="22"/>
          <w:szCs w:val="22"/>
        </w:rPr>
        <w:t xml:space="preserve"> jusqu’à une altitude de 4605 m, suivi d’une descente jusqu’au Camp </w:t>
      </w:r>
      <w:proofErr w:type="spellStart"/>
      <w:r w:rsidRPr="00576706">
        <w:rPr>
          <w:rFonts w:ascii="Arial" w:hAnsi="Arial" w:cs="Arial"/>
          <w:sz w:val="22"/>
          <w:szCs w:val="22"/>
        </w:rPr>
        <w:t>Baranco</w:t>
      </w:r>
      <w:proofErr w:type="spellEnd"/>
      <w:r w:rsidRPr="00576706">
        <w:rPr>
          <w:rFonts w:ascii="Arial" w:hAnsi="Arial" w:cs="Arial"/>
          <w:sz w:val="22"/>
          <w:szCs w:val="22"/>
        </w:rPr>
        <w:t xml:space="preserve"> situé à 4 000 m d’altitude.</w:t>
      </w:r>
      <w:r>
        <w:rPr>
          <w:rFonts w:ascii="Arial" w:hAnsi="Arial" w:cs="Arial"/>
          <w:sz w:val="22"/>
          <w:szCs w:val="22"/>
        </w:rPr>
        <w:t xml:space="preserve"> Par la suite, l’ascension se fait à nouveau en croissance jusqu’au sommet.</w:t>
      </w:r>
    </w:p>
    <w:p w:rsidR="00563C52" w:rsidRDefault="00563C52" w:rsidP="00563C52">
      <w:pPr>
        <w:jc w:val="both"/>
        <w:rPr>
          <w:rFonts w:ascii="Arial" w:hAnsi="Arial" w:cs="Arial"/>
          <w:sz w:val="24"/>
          <w:szCs w:val="24"/>
        </w:rPr>
      </w:pPr>
    </w:p>
    <w:p w:rsidR="00563C52" w:rsidRDefault="00563C52" w:rsidP="00563C5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Ind w:w="-1845" w:type="dxa"/>
        <w:tblLook w:val="04A0" w:firstRow="1" w:lastRow="0" w:firstColumn="1" w:lastColumn="0" w:noHBand="0" w:noVBand="1"/>
      </w:tblPr>
      <w:tblGrid>
        <w:gridCol w:w="3087"/>
        <w:gridCol w:w="3581"/>
      </w:tblGrid>
      <w:tr w:rsidR="00563C52" w:rsidTr="00F43A2F">
        <w:trPr>
          <w:jc w:val="center"/>
        </w:trPr>
        <w:tc>
          <w:tcPr>
            <w:tcW w:w="6668" w:type="dxa"/>
            <w:gridSpan w:val="2"/>
            <w:shd w:val="clear" w:color="auto" w:fill="D9D9D9" w:themeFill="background1" w:themeFillShade="D9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Tableau 1 : </w:t>
            </w:r>
            <w:r w:rsidRPr="00B26C0B">
              <w:rPr>
                <w:rFonts w:ascii="Arial" w:hAnsi="Arial" w:cs="Arial"/>
                <w:b/>
              </w:rPr>
              <w:t>Altitude du Kilimandjaro selon la distance horizontale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Distance horizontale (km)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Altitude (m)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0</w:t>
            </w:r>
          </w:p>
        </w:tc>
        <w:tc>
          <w:tcPr>
            <w:tcW w:w="3581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1740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3581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1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2219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10</w:t>
            </w:r>
          </w:p>
        </w:tc>
        <w:tc>
          <w:tcPr>
            <w:tcW w:w="3581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30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20</w:t>
            </w:r>
          </w:p>
        </w:tc>
        <w:tc>
          <w:tcPr>
            <w:tcW w:w="3581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26C0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05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81" w:type="dxa"/>
          </w:tcPr>
          <w:p w:rsidR="00563C52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4302,5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581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4000 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30</w:t>
            </w:r>
          </w:p>
        </w:tc>
        <w:tc>
          <w:tcPr>
            <w:tcW w:w="3581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4315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35</w:t>
            </w:r>
          </w:p>
        </w:tc>
        <w:tc>
          <w:tcPr>
            <w:tcW w:w="3581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15</w:t>
            </w:r>
          </w:p>
        </w:tc>
      </w:tr>
      <w:tr w:rsidR="00563C52" w:rsidTr="00F43A2F">
        <w:trPr>
          <w:jc w:val="center"/>
        </w:trPr>
        <w:tc>
          <w:tcPr>
            <w:tcW w:w="3087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40</w:t>
            </w:r>
          </w:p>
        </w:tc>
        <w:tc>
          <w:tcPr>
            <w:tcW w:w="3581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15</w:t>
            </w:r>
          </w:p>
        </w:tc>
      </w:tr>
    </w:tbl>
    <w:p w:rsidR="00563C52" w:rsidRDefault="00563C52" w:rsidP="00563C52">
      <w:pPr>
        <w:jc w:val="both"/>
        <w:rPr>
          <w:rFonts w:ascii="Arial" w:hAnsi="Arial" w:cs="Arial"/>
          <w:sz w:val="24"/>
          <w:szCs w:val="24"/>
        </w:rPr>
      </w:pPr>
    </w:p>
    <w:p w:rsidR="00563C52" w:rsidRDefault="00563C52" w:rsidP="00563C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63C52" w:rsidRDefault="00563C52" w:rsidP="00563C52">
      <w:pPr>
        <w:rPr>
          <w:rFonts w:ascii="Arial" w:hAnsi="Arial" w:cs="Arial"/>
          <w:sz w:val="22"/>
          <w:szCs w:val="22"/>
        </w:rPr>
      </w:pPr>
    </w:p>
    <w:p w:rsidR="00563C52" w:rsidRDefault="00563C52" w:rsidP="00563C52">
      <w:pPr>
        <w:rPr>
          <w:rFonts w:ascii="Arial" w:hAnsi="Arial" w:cs="Arial"/>
          <w:sz w:val="22"/>
          <w:szCs w:val="22"/>
        </w:rPr>
      </w:pPr>
    </w:p>
    <w:p w:rsidR="00563C52" w:rsidRPr="00F8266E" w:rsidRDefault="00563C52" w:rsidP="00563C52">
      <w:pPr>
        <w:rPr>
          <w:rFonts w:ascii="Arial" w:hAnsi="Arial" w:cs="Arial"/>
          <w:sz w:val="22"/>
          <w:szCs w:val="22"/>
        </w:rPr>
      </w:pPr>
      <w:r w:rsidRPr="00F8266E">
        <w:rPr>
          <w:rFonts w:ascii="Arial" w:hAnsi="Arial" w:cs="Arial"/>
          <w:sz w:val="22"/>
          <w:szCs w:val="22"/>
        </w:rPr>
        <w:t xml:space="preserve">Le tableau 2 indique la distance horizontale des camps </w:t>
      </w:r>
      <w:r>
        <w:rPr>
          <w:rFonts w:ascii="Arial" w:hAnsi="Arial" w:cs="Arial"/>
          <w:sz w:val="22"/>
          <w:szCs w:val="22"/>
        </w:rPr>
        <w:t>à partir de</w:t>
      </w:r>
      <w:r w:rsidRPr="00F8266E">
        <w:rPr>
          <w:rFonts w:ascii="Arial" w:hAnsi="Arial" w:cs="Arial"/>
          <w:sz w:val="22"/>
          <w:szCs w:val="22"/>
        </w:rPr>
        <w:t xml:space="preserve"> la Porte de </w:t>
      </w:r>
      <w:proofErr w:type="spellStart"/>
      <w:r w:rsidRPr="00F8266E">
        <w:rPr>
          <w:rFonts w:ascii="Arial" w:hAnsi="Arial" w:cs="Arial"/>
          <w:sz w:val="22"/>
          <w:szCs w:val="22"/>
        </w:rPr>
        <w:t>Machame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63C52" w:rsidRDefault="00563C52" w:rsidP="00563C52">
      <w:pPr>
        <w:jc w:val="both"/>
        <w:rPr>
          <w:rFonts w:ascii="Arial" w:hAnsi="Arial" w:cs="Arial"/>
          <w:b/>
          <w:sz w:val="22"/>
          <w:szCs w:val="22"/>
        </w:rPr>
      </w:pPr>
    </w:p>
    <w:p w:rsidR="00563C52" w:rsidRDefault="00563C52" w:rsidP="00563C5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76"/>
        <w:gridCol w:w="4218"/>
      </w:tblGrid>
      <w:tr w:rsidR="00563C52" w:rsidTr="00F43A2F">
        <w:trPr>
          <w:jc w:val="center"/>
        </w:trPr>
        <w:tc>
          <w:tcPr>
            <w:tcW w:w="8294" w:type="dxa"/>
            <w:gridSpan w:val="2"/>
            <w:shd w:val="clear" w:color="auto" w:fill="D9D9D9" w:themeFill="background1" w:themeFillShade="D9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</w:rPr>
              <w:t>Tableau 2 : D</w:t>
            </w:r>
            <w:r w:rsidRPr="00B26C0B">
              <w:rPr>
                <w:rFonts w:ascii="Arial" w:hAnsi="Arial" w:cs="Arial"/>
                <w:b/>
              </w:rPr>
              <w:t>istance horizontale</w:t>
            </w:r>
            <w:r>
              <w:rPr>
                <w:rFonts w:ascii="Arial" w:hAnsi="Arial" w:cs="Arial"/>
                <w:b/>
              </w:rPr>
              <w:t xml:space="preserve"> des camps à partir de la Porte de </w:t>
            </w:r>
            <w:proofErr w:type="spellStart"/>
            <w:r>
              <w:rPr>
                <w:rFonts w:ascii="Arial" w:hAnsi="Arial" w:cs="Arial"/>
                <w:b/>
              </w:rPr>
              <w:t>Machame</w:t>
            </w:r>
            <w:proofErr w:type="spellEnd"/>
          </w:p>
        </w:tc>
      </w:tr>
      <w:tr w:rsidR="00563C52" w:rsidTr="00F43A2F">
        <w:trPr>
          <w:jc w:val="center"/>
        </w:trPr>
        <w:tc>
          <w:tcPr>
            <w:tcW w:w="4076" w:type="dxa"/>
            <w:shd w:val="clear" w:color="auto" w:fill="D9D9D9" w:themeFill="background1" w:themeFillShade="D9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camps et le sommet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Distance horizontale (km)</w:t>
            </w:r>
          </w:p>
        </w:tc>
      </w:tr>
      <w:tr w:rsidR="00563C52" w:rsidTr="00F43A2F">
        <w:trPr>
          <w:jc w:val="center"/>
        </w:trPr>
        <w:tc>
          <w:tcPr>
            <w:tcW w:w="4076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Porte de </w:t>
            </w:r>
            <w:proofErr w:type="spellStart"/>
            <w:r>
              <w:rPr>
                <w:rFonts w:ascii="Arial" w:hAnsi="Arial" w:cs="Arial"/>
              </w:rPr>
              <w:t>Machame</w:t>
            </w:r>
            <w:proofErr w:type="spellEnd"/>
          </w:p>
        </w:tc>
        <w:tc>
          <w:tcPr>
            <w:tcW w:w="4218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3C52" w:rsidTr="00F43A2F">
        <w:trPr>
          <w:jc w:val="center"/>
        </w:trPr>
        <w:tc>
          <w:tcPr>
            <w:tcW w:w="4076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 </w:t>
            </w:r>
            <w:proofErr w:type="spellStart"/>
            <w:r>
              <w:rPr>
                <w:rFonts w:ascii="Arial" w:hAnsi="Arial" w:cs="Arial"/>
              </w:rPr>
              <w:t>Machame</w:t>
            </w:r>
            <w:proofErr w:type="spellEnd"/>
          </w:p>
        </w:tc>
        <w:tc>
          <w:tcPr>
            <w:tcW w:w="4218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63C52" w:rsidTr="00F43A2F">
        <w:trPr>
          <w:jc w:val="center"/>
        </w:trPr>
        <w:tc>
          <w:tcPr>
            <w:tcW w:w="4076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Shira</w:t>
            </w:r>
          </w:p>
        </w:tc>
        <w:tc>
          <w:tcPr>
            <w:tcW w:w="4218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63C52" w:rsidTr="00F43A2F">
        <w:trPr>
          <w:jc w:val="center"/>
        </w:trPr>
        <w:tc>
          <w:tcPr>
            <w:tcW w:w="4076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 </w:t>
            </w:r>
            <w:proofErr w:type="spellStart"/>
            <w:r>
              <w:rPr>
                <w:rFonts w:ascii="Arial" w:hAnsi="Arial" w:cs="Arial"/>
              </w:rPr>
              <w:t>Baranco</w:t>
            </w:r>
            <w:proofErr w:type="spellEnd"/>
          </w:p>
        </w:tc>
        <w:tc>
          <w:tcPr>
            <w:tcW w:w="4218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63C52" w:rsidTr="00F43A2F">
        <w:trPr>
          <w:jc w:val="center"/>
        </w:trPr>
        <w:tc>
          <w:tcPr>
            <w:tcW w:w="4076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 </w:t>
            </w:r>
            <w:proofErr w:type="spellStart"/>
            <w:r>
              <w:rPr>
                <w:rFonts w:ascii="Arial" w:hAnsi="Arial" w:cs="Arial"/>
              </w:rPr>
              <w:t>Barafu</w:t>
            </w:r>
            <w:proofErr w:type="spellEnd"/>
          </w:p>
        </w:tc>
        <w:tc>
          <w:tcPr>
            <w:tcW w:w="4218" w:type="dxa"/>
          </w:tcPr>
          <w:p w:rsidR="00563C52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563C52" w:rsidTr="00F43A2F">
        <w:trPr>
          <w:jc w:val="center"/>
        </w:trPr>
        <w:tc>
          <w:tcPr>
            <w:tcW w:w="4076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Sommet</w:t>
            </w:r>
          </w:p>
        </w:tc>
        <w:tc>
          <w:tcPr>
            <w:tcW w:w="4218" w:type="dxa"/>
          </w:tcPr>
          <w:p w:rsidR="00563C52" w:rsidRPr="00B26C0B" w:rsidRDefault="00563C52" w:rsidP="00F43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563C52" w:rsidRDefault="00563C52" w:rsidP="00563C52">
      <w:pPr>
        <w:rPr>
          <w:rFonts w:ascii="Arial" w:hAnsi="Arial" w:cs="Arial"/>
          <w:sz w:val="24"/>
          <w:szCs w:val="24"/>
        </w:rPr>
      </w:pPr>
    </w:p>
    <w:p w:rsidR="00563C52" w:rsidRDefault="00563C52" w:rsidP="00563C52">
      <w:pPr>
        <w:jc w:val="both"/>
        <w:rPr>
          <w:rFonts w:ascii="Arial" w:hAnsi="Arial" w:cs="Arial"/>
          <w:sz w:val="24"/>
          <w:szCs w:val="24"/>
        </w:rPr>
      </w:pPr>
    </w:p>
    <w:p w:rsidR="00563C52" w:rsidRPr="002C1DB0" w:rsidRDefault="00563C52" w:rsidP="00563C52">
      <w:pPr>
        <w:rPr>
          <w:rFonts w:ascii="Arial" w:hAnsi="Arial" w:cs="Arial"/>
          <w:b/>
          <w:sz w:val="22"/>
          <w:szCs w:val="22"/>
        </w:rPr>
      </w:pPr>
      <w:r w:rsidRPr="002C1DB0">
        <w:rPr>
          <w:rFonts w:ascii="Arial" w:hAnsi="Arial" w:cs="Arial"/>
          <w:b/>
          <w:sz w:val="22"/>
          <w:szCs w:val="22"/>
        </w:rPr>
        <w:t xml:space="preserve">Trouvez l’altitude des camps </w:t>
      </w:r>
      <w:proofErr w:type="spellStart"/>
      <w:r>
        <w:rPr>
          <w:rFonts w:ascii="Arial" w:hAnsi="Arial" w:cs="Arial"/>
          <w:b/>
          <w:sz w:val="22"/>
          <w:szCs w:val="22"/>
        </w:rPr>
        <w:t>Machame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Shira et </w:t>
      </w:r>
      <w:proofErr w:type="spellStart"/>
      <w:r>
        <w:rPr>
          <w:rFonts w:ascii="Arial" w:hAnsi="Arial" w:cs="Arial"/>
          <w:b/>
          <w:sz w:val="22"/>
          <w:szCs w:val="22"/>
        </w:rPr>
        <w:t>Barafu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2C1DB0">
        <w:rPr>
          <w:rFonts w:ascii="Arial" w:hAnsi="Arial" w:cs="Arial"/>
          <w:b/>
          <w:sz w:val="22"/>
          <w:szCs w:val="22"/>
        </w:rPr>
        <w:t xml:space="preserve">ainsi que celle du sommet. </w:t>
      </w:r>
    </w:p>
    <w:p w:rsidR="00563C52" w:rsidRDefault="00563C52" w:rsidP="00563C52">
      <w:pPr>
        <w:jc w:val="both"/>
        <w:rPr>
          <w:rFonts w:ascii="Arial" w:hAnsi="Arial" w:cs="Arial"/>
          <w:b/>
          <w:sz w:val="22"/>
          <w:szCs w:val="22"/>
        </w:rPr>
      </w:pPr>
      <w:r w:rsidRPr="002C1DB0">
        <w:rPr>
          <w:rFonts w:ascii="Arial" w:hAnsi="Arial" w:cs="Arial"/>
          <w:b/>
          <w:sz w:val="22"/>
          <w:szCs w:val="22"/>
        </w:rPr>
        <w:t>Afin d’obtenir des valeurs plus précises, utilisez une approche algébrique.</w:t>
      </w:r>
    </w:p>
    <w:p w:rsidR="00563C52" w:rsidRDefault="00563C52" w:rsidP="00563C52">
      <w:pPr>
        <w:rPr>
          <w:rFonts w:ascii="Arial" w:hAnsi="Arial" w:cs="Arial"/>
          <w:sz w:val="24"/>
          <w:szCs w:val="24"/>
        </w:rPr>
      </w:pPr>
    </w:p>
    <w:p w:rsidR="004A2437" w:rsidRDefault="004A2437" w:rsidP="00563C52">
      <w:pPr>
        <w:rPr>
          <w:rFonts w:ascii="Arial" w:hAnsi="Arial" w:cs="Arial"/>
          <w:sz w:val="24"/>
          <w:szCs w:val="24"/>
        </w:rPr>
      </w:pPr>
    </w:p>
    <w:sectPr w:rsidR="004A2437">
      <w:headerReference w:type="default" r:id="rId11"/>
      <w:footerReference w:type="default" r:id="rId12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563C5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CÉAPO/Avril 2017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5C5D3E" w:rsidRPr="005C5D3E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563C52">
            <w:rPr>
              <w:b/>
              <w:bCs/>
              <w:color w:val="000000" w:themeColor="text1"/>
              <w:sz w:val="28"/>
              <w:szCs w:val="28"/>
            </w:rPr>
            <w:t>L’ascension du Kilimandjaro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563C52">
            <w:rPr>
              <w:b/>
              <w:bCs/>
              <w:color w:val="000000" w:themeColor="text1"/>
              <w:sz w:val="16"/>
              <w:szCs w:val="16"/>
            </w:rPr>
            <w:t>5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563C52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563C52">
            <w:rPr>
              <w:b/>
              <w:bCs/>
              <w:color w:val="000000" w:themeColor="text1"/>
              <w:sz w:val="16"/>
              <w:szCs w:val="16"/>
            </w:rPr>
            <w:t xml:space="preserve">général 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662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20086D"/>
    <w:rsid w:val="00200DFE"/>
    <w:rsid w:val="00223DE2"/>
    <w:rsid w:val="002506E8"/>
    <w:rsid w:val="00275B61"/>
    <w:rsid w:val="00280B93"/>
    <w:rsid w:val="00286AA7"/>
    <w:rsid w:val="0029643B"/>
    <w:rsid w:val="002A6667"/>
    <w:rsid w:val="002C1DB0"/>
    <w:rsid w:val="002C59E0"/>
    <w:rsid w:val="002F3B05"/>
    <w:rsid w:val="003335E4"/>
    <w:rsid w:val="003648B5"/>
    <w:rsid w:val="00370E4A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63C52"/>
    <w:rsid w:val="00580000"/>
    <w:rsid w:val="0059244B"/>
    <w:rsid w:val="005B0807"/>
    <w:rsid w:val="005C5D3E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84535"/>
    <w:rsid w:val="00994114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rdav.ca/ps-tanzanie/rn-kilimandjaro-mont-meru/tp-circuit-accompagne/at-trek/tanm04--kilimandjaro-voie-machame-5895-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r.wikipedia.org/wiki/Kilimandja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2016-11-10T21:37:00Z</cp:lastPrinted>
  <dcterms:created xsi:type="dcterms:W3CDTF">2017-04-10T20:03:00Z</dcterms:created>
  <dcterms:modified xsi:type="dcterms:W3CDTF">2017-04-12T13:25:00Z</dcterms:modified>
</cp:coreProperties>
</file>